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初中英语教材主题话题汇总</w:t>
      </w:r>
    </w:p>
    <w:p>
      <w:pPr>
        <w:spacing w:after="160"/>
      </w:pPr>
      <w:r>
        <w:rPr>
          <w:rFonts w:ascii="等线" w:hAnsi="等线" w:eastAsia="等线"/>
          <w:b w:val="0"/>
          <w:color w:val="555555"/>
          <w:sz w:val="18"/>
        </w:rPr>
        <w:t>五个版本教材  ·  29 个子主题  ·  相关单元与内容活动切入点</w:t>
      </w:r>
    </w:p>
    <w:p>
      <w:pPr>
        <w:pStyle w:val="Heading1"/>
      </w:pPr>
      <w:r>
        <w:t>人与自我</w:t>
      </w:r>
    </w:p>
    <w:p>
      <w:pPr>
        <w:pStyle w:val="Heading2"/>
      </w:pPr>
      <w:r>
        <w:t>01  丰富、充实、积极向上的生活；</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七上SU3；八上U1；八下U1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从农场见闻、假期经历和休闲爱好切入，讨论怎样发现日常乐趣、安排休息并丰富生活；设计农场和假期清单，调查课余活动。</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七上SU；七下U1；八下U1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以学校和社区中的日常生活为起点，描述一天的安排与生活方式；写日常邮件，制定健康生活计划。</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七上U1；七下U1、U4；八上U1；八下U2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从初中新生活、幸福感和兴趣活动展开，讨论积极看待经历及成长变化；制作开学海报、快乐方法书页和活动报告。</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七上U2；七下U7；九上U3</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围绕兴趣爱好、户外活动与坚持梦想，介绍丰富生活的选择，并联系个人兴趣表达自己的目标。</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七上U2、U3；七下U8；八上U3；九上U5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从友谊、健康、勇气、成就与动手实践等角度呈现积极生活；通过调查、海报和解决实际问题把想法付诸行动。</w:t>
            </w:r>
          </w:p>
        </w:tc>
      </w:tr>
    </w:tbl>
    <w:p>
      <w:pPr>
        <w:spacing w:after="40"/>
      </w:pPr>
    </w:p>
    <w:p>
      <w:pPr>
        <w:pStyle w:val="Heading2"/>
      </w:pPr>
      <w:r>
        <w:t>02  多彩、安全、有意义的学校生活；</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七上SU2；七上U3；七上U4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介绍学习用品与校园场所、喜欢的学科及社团活动；开展校园介绍并设计每周课程表。</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七上SU；七上U2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从校园交流、课程与日常活动认识学校生活；写校园博客并展示本校的学习体验。</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七上Starter、U1、U2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聚焦入学适应、第一周计划与校园社团；通过许愿树、开学海报和社团计划表达期待。</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七上U1、U3、U4；八上U2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从自我介绍、校园设施、学校的一天到不同学校的比较，呈现多样的校园生活；制作新校园生活视频。</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七上U1；七下U1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描述学校的一天、学科与活动，并讨论个人目标和时间管理；拍摄校园视频，制作时间安排工具。</w:t>
            </w:r>
          </w:p>
        </w:tc>
      </w:tr>
    </w:tbl>
    <w:p>
      <w:pPr>
        <w:spacing w:after="40"/>
      </w:pPr>
    </w:p>
    <w:p>
      <w:pPr>
        <w:pStyle w:val="Heading2"/>
      </w:pPr>
      <w:r>
        <w:t>03  身心健康、抗挫能力，珍爱生命的意识；</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七下U3；七下U4；八下U2；八下U3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结合运动与饮食习惯讨论健康选择，再延伸到身体不适、安全和成长烦恼；比较习惯、设计菜单并制作健康宣传册。</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七下U2；八上U2；八上U3；八下U1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从饮食健康、日常安全、情绪体验和生活方式入手；制定安全规则与健康计划，并用漫画表达情绪调适。</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七下U1、U3；八下U2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借幸福感、均衡饮食与成长压力讨论身心健康；制作食物资料页，并用播客讲述成长经历。</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七上U5；七下U7；九上U2、U3、U4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围绕健康饮食、户外活动、青春期问题与坚持目标，讨论生活方式和应对困难的方法。</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七上U3；七下U8；八上U3、U8</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介绍健康饮食、成功与挫折、情绪韧性及传染病防护；开展生活方式调查和健康倡议活动。</w:t>
            </w:r>
          </w:p>
        </w:tc>
      </w:tr>
    </w:tbl>
    <w:p>
      <w:pPr>
        <w:spacing w:after="40"/>
      </w:pPr>
    </w:p>
    <w:p>
      <w:pPr>
        <w:pStyle w:val="Heading2"/>
      </w:pPr>
      <w:r>
        <w:t>04  积极的学习体验，恰当的学习方法与策略，勤学善思；</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七上U4；七上U6；八上U1；九上U3；九上U4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从喜爱的学科、时间安排与假期经验过渡到学习方法和记忆策略；调查学习方式，讨论记忆在学习中的作用。</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七上SU；八下U6</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由入门交流进入学习主题，比较有效的学习方法；撰写改进学习的文章，建立学习档案。</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七上Starter、U2；八上U3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以新学期计划、社团兴趣和发明实践为素材，练习提出计划、理解信息并把想法付诸行动。</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七上U4；七下U8；八上U3</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呈现校园学习、故事阅读与学习策略；比较学习方法，反思怎样成为更好的学习者。</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从认识自己的能力和学习方式入手，讨论学习方法与改进路径，并通过短剧呈现学习情境。</w:t>
            </w:r>
          </w:p>
        </w:tc>
      </w:tr>
    </w:tbl>
    <w:p>
      <w:pPr>
        <w:spacing w:after="40"/>
      </w:pPr>
    </w:p>
    <w:p>
      <w:pPr>
        <w:pStyle w:val="Heading2"/>
      </w:pPr>
      <w:r>
        <w:t>05  自我认识、自我提升；</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七上U1；八上U3；八上U7；八下U3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通过个人简介、同伴差异、未来设想和成长烦恼，引导学生认识自身特点、理解变化并规划未来。</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七上U4；八上U3；八下U3；九上U3</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围绕兴趣能力、情绪体验、艰难选择和成长历程；写申请信、建议信及成长记录，表达自我提升。</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七上U1；七下U4；八上U1；八下U2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从新阶段计划、兴趣与职业、自我表达及成长压力，讨论身份认知和变化；演讲介绍自己，录制成长故事。</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七上U2、U5、U6；八上U3；九上U1、U2、U4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由爱好、穿衣风格和学习方法走向个性、青春期困扰与生命意义，逐步形成自我认识。</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七上U2、U3、U6；七下U1、U7、U8；九上U5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通过友谊、健康、发明、目标、身份与成就等内容探索个人特点；用社团、海报和实际行动表达成长。</w:t>
            </w:r>
          </w:p>
        </w:tc>
      </w:tr>
    </w:tbl>
    <w:p>
      <w:pPr>
        <w:spacing w:after="40"/>
      </w:pPr>
    </w:p>
    <w:p>
      <w:pPr>
        <w:pStyle w:val="Heading2"/>
      </w:pPr>
      <w:r>
        <w:t>06  职业启蒙、职业精神；</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以未来规划和解决问题的计划为入口，练习明确目标、安排步骤，为职业选择建立初步规划意识。</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七上U4；七下U1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从个人兴趣、能力与日常生活认识适合自己的工作方向；撰写申请信，说明自己能做什么。</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七下U4；八下U1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从兴趣发展为职业的经历进入职业话题，了解不同工作与职业尝试；撰写职业调查报告。</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讨论性格特点与职业成功的关系，思考个人优势和职业选择如何相互匹配。</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介绍未来职业及岗位所需品质，比较职业兴趣与能力要求；制作理想职业视频。</w:t>
            </w:r>
          </w:p>
        </w:tc>
      </w:tr>
    </w:tbl>
    <w:p>
      <w:pPr>
        <w:spacing w:after="40"/>
      </w:pPr>
    </w:p>
    <w:p>
      <w:pPr>
        <w:pStyle w:val="Heading2"/>
      </w:pPr>
      <w:r>
        <w:t>07  劳动时间，劳动品质与工匠精神；</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七下U7；八上U2；八上U5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从家庭分工和烹饪实践认识劳动价值，调查家务分担并制作食谱；用特别的经历反思实践收获。</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七下U1；八下U2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联系日常责任与帮助他人的经历，讨论劳动和服务如何改善个人生活及周围环境。</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八上U3；八下U1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通过发明者品质与职业体验认识实践、坚持和解决问题的过程；展示发明并撰写工作报告。</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以亲手制作和实践活动为切入点，讨论动手完成作品的过程与收获。</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八下U3；九上U5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聚焦手工艺、工匠及DIY制作，认识工具和制作步骤；展示工艺成果并解决真实生活问题。</w:t>
            </w:r>
          </w:p>
        </w:tc>
      </w:tr>
    </w:tbl>
    <w:p>
      <w:pPr>
        <w:spacing w:after="40"/>
      </w:pPr>
    </w:p>
    <w:p>
      <w:pPr>
        <w:pStyle w:val="Heading2"/>
      </w:pPr>
      <w:r>
        <w:t>08  货币尝试，理财意识，理性消费，信用维护；</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（暂无直接对应单元）</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原表未列对应单元；五册目录中暂无可直接据此归入该子主题的单元。</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直接讨论个人理财与资金管理，认识支出安排和金钱使用的基本原则；完成理财主题项目。</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以零花钱的使用为情境，讨论存钱、消费与计划；制定个人零花钱使用方案。</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围绕礼物与购物选择认识理性消费，讨论怎样明智地使用金钱。</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从金钱管理和压岁钱使用入手，分析消费选择；撰写压岁钱支出报告。</w:t>
            </w:r>
          </w:p>
        </w:tc>
      </w:tr>
    </w:tbl>
    <w:p>
      <w:pPr>
        <w:spacing w:after="40"/>
      </w:pPr>
    </w:p>
    <w:p>
      <w:pPr>
        <w:pStyle w:val="Heading2"/>
      </w:pPr>
      <w:r>
        <w:t>09  勤于动手，乐于实践，敢于创新</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通过学做食物、描述制作过程和设计食谱体验动手实践，思考烹饪给生活带来的价值。</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八下U5；八下U6</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将旧物再利用与学习改进相结合，提出绿色解决方案并建设学习档案，体现实践中的改进意识。</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以发明和帮助他人的事例讨论创意如何付诸实践；制作发明展示板说明其作用。</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以动手制作活动练习计划、操作与展示，体验从想法到作品的过程。</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七上U6；八下U3；九上U5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从小发明、工艺制作到DIY，关注工具使用、制作方法和创意；动手制作并处理生活中的实际问题。</w:t>
            </w:r>
          </w:p>
        </w:tc>
      </w:tr>
    </w:tbl>
    <w:p>
      <w:pPr>
        <w:spacing w:after="40"/>
      </w:pPr>
    </w:p>
    <w:p>
      <w:pPr>
        <w:pStyle w:val="Heading1"/>
      </w:pPr>
      <w:r>
        <w:t>人与社会</w:t>
      </w:r>
    </w:p>
    <w:p>
      <w:pPr>
        <w:pStyle w:val="Heading2"/>
      </w:pPr>
      <w:r>
        <w:t>10  良好的人际关系与人际交往；</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七上SU1；七上U1；七上U5；八上U3；八上U8</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从打招呼、结识同伴、参加社团和理解差异，逐步讨论有效沟通；制作个人简介并讲述交流故事。</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七上SU；七上U1；七上U3；八下U4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以家庭和社区交往为基础，延伸到语言沟通及建议表达；写介绍邮件和沟通建议。</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七上Starter、U3；八上U2；八下U3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讨论家庭成员之间的交流、与他人相处及团队协作；制作家庭相册和相处指南。</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七上U1；七下U2；八上U1；八下U5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通过自我介绍、邻里关系、友谊与礼仪，认识良好关系的建立和维护。</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七上U2；七下U3；八上U4、U7；八下U6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从交朋友、社交网络、邻里服务和沟通方式入手，讨论线上线下交流；制作沟通指南。</w:t>
            </w:r>
          </w:p>
        </w:tc>
      </w:tr>
    </w:tbl>
    <w:p>
      <w:pPr>
        <w:spacing w:after="40"/>
      </w:pPr>
    </w:p>
    <w:p>
      <w:pPr>
        <w:pStyle w:val="Heading2"/>
      </w:pPr>
      <w:r>
        <w:t>11  和谐家庭与社区生活；</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七上U2；八上U2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介绍家庭成员、家庭树和理想的家，再调查家务分担；讨论家庭关系与居家生活的责任。</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七上U1；七上U3；八下U2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从介绍家人、描述住所延伸到帮助他人，展示家庭与社区中关怀和互助的具体方式。</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通过家庭故事和家人之间的沟通认识亲情；制作家庭相册，表达对家庭成员的理解。</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七下U1、U2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比较不同住房并介绍自己的家和社区，关注生活环境及邻里联系。</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描述社区空间与公共服务，制作社区介绍单页，关注居民如何利用和改善社区资源。</w:t>
            </w:r>
          </w:p>
        </w:tc>
      </w:tr>
    </w:tbl>
    <w:p>
      <w:pPr>
        <w:spacing w:after="40"/>
      </w:pPr>
    </w:p>
    <w:p>
      <w:pPr>
        <w:pStyle w:val="Heading2"/>
      </w:pPr>
      <w:r>
        <w:t>12  志愿服务与公共服务；</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八下U8</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以帮助他人的原因和实际影响为核心，讨论志愿服务的意义；组织志愿小组。</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围绕帮助他人与志愿经历，介绍服务对象和行动过程；撰写志愿服务经历并开展服务项目。</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七上U4；八下U4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从节庆中的公益与环保行动延伸到帮助动物和社区；规划一次具体的帮助活动。</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七下U2；八下U6、U7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以邻里互助、帮助有需要的人和慈善组织为线索，了解公共服务与社会支持。</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八上U4；八下U2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介绍社区公共服务与志愿岗位，讨论如何参与；制作志愿活动海报。</w:t>
            </w:r>
          </w:p>
        </w:tc>
      </w:tr>
    </w:tbl>
    <w:p>
      <w:pPr>
        <w:spacing w:after="40"/>
      </w:pPr>
    </w:p>
    <w:p>
      <w:pPr>
        <w:pStyle w:val="Heading2"/>
      </w:pPr>
      <w:r>
        <w:t>13  交流与合作，团队精神；</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七上U5；八上U3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通过加入和组建社团认识共同目标，比较成员差异，练习在合作中理解并发挥彼此长处。</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八上U1；八下U2；八下U6</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从体育合作、志愿服务和共同学习中认识分工与互助；开展体育调查和服务项目。</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七下U2；八下U3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借体育活动和团队任务讨论成员贡献与换位思考；设计团队名称和标志。</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七下U2；八下U6、U7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以邻里互助和慈善服务为场景，认识共同参与、相互支持与团队行动。</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七上U4；九上U8</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从体育合作到团队精神，讨论合作所需品质；为学校篮球队提出改进建议。</w:t>
            </w:r>
          </w:p>
        </w:tc>
      </w:tr>
    </w:tbl>
    <w:p>
      <w:pPr>
        <w:spacing w:after="40"/>
      </w:pPr>
    </w:p>
    <w:p>
      <w:pPr>
        <w:pStyle w:val="Heading2"/>
      </w:pPr>
      <w:r>
        <w:t>14  家乡和社会的变迁，历史的发展，对未来的畅想；</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七下U5；八上U7；九上U1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比较当下生活、过去与未来的变化，讨论变化对人的影响；制作未来图景并对照今昔。</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围绕“过去与现在”的生活经历，描述变化并思考变化的意义；写个人经历。</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通过历史遗迹和历史资料认识过去，整理历史故事；制作班级历史读本。</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七下U3；八下U1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介绍家乡景点、交通和生活的变迁，比较过去与现在的日常体验。</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八上U7；九上U6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从沟通方式的演变和家乡面貌切入，介绍地区特点；制作沟通指南和家乡展示。</w:t>
            </w:r>
          </w:p>
        </w:tc>
      </w:tr>
    </w:tbl>
    <w:p>
      <w:pPr>
        <w:spacing w:after="40"/>
      </w:pPr>
    </w:p>
    <w:p>
      <w:pPr>
        <w:pStyle w:val="Heading2"/>
      </w:pPr>
      <w:r>
        <w:t>15  跨文化沟通与交流，语言与文化；</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直接讨论跨文化交流中的表达方式和尊重原则；比较两个国家的习俗。</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七下U4；八上U5；八下U4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通过地标、旅行和语言沟通认识不同文化；介绍地标，讨论负责任的旅行与翻译工具。</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七上U2、U4；七下U3、U6；九上U3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从中西音乐、节庆、食物和旅行等生活场景比较文化表达；制作节日海报与旅行计划。</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七下U1、U3；八上U2；八下U3、U5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比较住所、家乡、学校与礼仪中的文化差异，并借线上旅行拓展跨文化认识。</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七上U5、U8；八上U5；八下U6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围绕旅游、节庆、风俗和语言的作用，介绍文化实践；制作景点单页及节庆模型。</w:t>
            </w:r>
          </w:p>
        </w:tc>
      </w:tr>
    </w:tbl>
    <w:p>
      <w:pPr>
        <w:spacing w:after="40"/>
      </w:pPr>
    </w:p>
    <w:p>
      <w:pPr>
        <w:pStyle w:val="Heading2"/>
      </w:pPr>
      <w:r>
        <w:t>16  中外影视、戏剧、音乐、舞蹈、绘画、建筑等艺术形式中的文化价值和作品赏析，优秀的艺术家及其艺术成就；</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七下U8；八下U7；九上U7</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通过故事、经典阅读和音乐认识作品的表达力量；表演短剧、记录阅读并介绍音乐家。</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九上U2；九上U5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从文学作品和绘画切入艺术欣赏；撰写书评、介绍画作，并组织戏剧活动。</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七上U2；九上U1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以民族乐器与现代音乐的融合及艺术创作故事为素材，讨论艺术表达和创作者。</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七下U4；九上U5、U6、U7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介绍民间工艺、音乐、书画与电影，比较不同艺术形式并欣赏其文化意义。</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八下U3、U5；九上U2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从手工艺、音乐到影视戏剧，描述作品和感受；组织音乐活动并排演英语短剧。</w:t>
            </w:r>
          </w:p>
        </w:tc>
      </w:tr>
    </w:tbl>
    <w:p>
      <w:pPr>
        <w:spacing w:after="40"/>
      </w:pPr>
    </w:p>
    <w:p>
      <w:pPr>
        <w:pStyle w:val="Heading2"/>
      </w:pPr>
      <w:r>
        <w:t>17  日常体育活动，重大体育赛事，体育精神；</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七下U3；九上U8</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从日常运动习惯延伸到体育赛事，讨论锻炼的益处与赛事如何凝聚人群；介绍喜爱的赛事。</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围绕体育项目、运动习惯和参与体验展开调查；撰写体育调查报告并开展运动项目。</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借运动经历和体育时刻讨论坚持与努力；制作体育精彩瞬间海报。</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以户外活动体验运动和休闲的乐趣；原表对应单元未直接聚焦重大体育赛事。</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七上U4；七下U5；九上U8</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从运动种类、运动益处到体育精神和团队合作；设计新运动、游戏及球队建议。</w:t>
            </w:r>
          </w:p>
        </w:tc>
      </w:tr>
    </w:tbl>
    <w:p>
      <w:pPr>
        <w:spacing w:after="40"/>
      </w:pPr>
    </w:p>
    <w:p>
      <w:pPr>
        <w:pStyle w:val="Heading2"/>
      </w:pPr>
      <w:r>
        <w:t>18  中外文学史上有代表性的作家和作品；</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七下U8；八下U7</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通过故事的启示与经典阅读认识文学作品；表演故事并制作阅读记录。</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围绕文学作品的阅读与评价，练习撰写书评，并通过戏剧表演理解作品。</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八上U2、U4；九上U2、U6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相关单元选用《自私的巨人》《小狗钱钱》等改编文本或文学材料，借阅读讨论相处、理财及社会议题；并非每单元都以文学史为中心。</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七下U8；八下U4；九上U8</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从幻想故事、阅读选择到经典文学，练习推荐书籍并探讨作品主题。</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七下U6；九上U2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介绍经典作家、人物与作品，也借戏剧认识文本改编；设计书籍封面并排演短剧。</w:t>
            </w:r>
          </w:p>
        </w:tc>
      </w:tr>
    </w:tbl>
    <w:p>
      <w:pPr>
        <w:spacing w:after="40"/>
      </w:pPr>
    </w:p>
    <w:p>
      <w:pPr>
        <w:pStyle w:val="Heading2"/>
      </w:pPr>
      <w:r>
        <w:t>19  世界主要国家的文化习俗与文化景观、节假日与庆祝活动；</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七上U7；七下U5；八下U6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从生日庆祝、日常生活和跨文化习俗切入，比较庆祝方式并讨论尊重差异。</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七下U4；八上U5；八上U6</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介绍地标、旅行和节庆，关注景观与文化习俗；制作节日手册和邀请邮件。</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七上U4；七下U6；九上U3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通过春节、圣诞节、旅行和历史遗迹认识不同地区的庆祝活动与文化景观。</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七上U8；七下U3；八下U2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比较世界节日、中国景点与家乡特色；制定新年庆祝计划。</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七上U5、U8；八上U5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介绍景点、各地节庆和风俗，关注旅行体验；制作旅游介绍单页及节日模型。</w:t>
            </w:r>
          </w:p>
        </w:tc>
      </w:tr>
    </w:tbl>
    <w:p>
      <w:pPr>
        <w:spacing w:after="40"/>
      </w:pPr>
    </w:p>
    <w:p>
      <w:pPr>
        <w:pStyle w:val="Heading2"/>
      </w:pPr>
      <w:r>
        <w:t>20  对世界、国家、人民和社会进步有突出贡献的人物；</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八下U4；九上U2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《Inspiring People》讨论值得敬佩的人物及其品质；原表同时列有自然探索单元，后者主要介绍自然奇观。</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聚焦榜样人物及其事迹和影响；介绍榜样，并讨论选择榜样的依据。</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八上U1；九上U1、U4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通过青年创新者、英雄与地方人物的故事，讨论贡献和榜样品质；制作地方英雄短视频。</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八下U1；九上U5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原表相关单元侧重社会变迁与音乐文化，可借具体人物引出贡献，但并非都直接以杰出人物为主线。</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八上U3、U6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介绍杰出人物的成就，并从坚强勇敢的经历理解贡献背后的品质；设计人物介绍。</w:t>
            </w:r>
          </w:p>
        </w:tc>
      </w:tr>
    </w:tbl>
    <w:p>
      <w:pPr>
        <w:spacing w:after="40"/>
      </w:pPr>
    </w:p>
    <w:p>
      <w:pPr>
        <w:pStyle w:val="Heading2"/>
      </w:pPr>
      <w:r>
        <w:t>21  公共秩序与法律法规，个人信息安全与国家安全意识；</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讨论学校和生活中为何需要规则、规则如何维护秩序；制定班级规则。</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八上U2；九上U1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从安全规则延伸到信息与媒体使用，练习制定安全守则并辨别传播信息的方式。</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对照数字生活和公共规则，讨论屏幕使用与规则边界；辩论规则在不同情境中的适用性。</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八下U5、U8</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以文明礼仪和绿色公民行动为切入点，讨论遵守公共规范；原表单元未直接讲解法律条文。</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七下U3；八下U7；九上U4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从社交网络、数据保护到法律与交通规则，讨论个人信息安全；制作道路安全倡议。</w:t>
            </w:r>
          </w:p>
        </w:tc>
      </w:tr>
    </w:tbl>
    <w:p>
      <w:pPr>
        <w:spacing w:after="40"/>
      </w:pPr>
    </w:p>
    <w:p>
      <w:pPr>
        <w:pStyle w:val="Heading2"/>
      </w:pPr>
      <w:r>
        <w:t>22  身份认同与文化自信；</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通过跨文化沟通和两国习俗比较，在尊重差异中认识自身文化表达。</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八上U6；九上U5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从节庆活动和艺术作品认识文化传统；制作节日手册、介绍绘画作品。</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八上U1；九上U1</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以自我表达和传统艺术创新为材料，讨论青年如何认识自身文化并向他人介绍。</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七下U4；八下U2；九上U6</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通过中国民间工艺、国内景点和书画艺术，认识文化作品并表达对本土文化的理解。</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七下U4、U7；九上U6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从工程成就、个人身份和家乡特色出发认识文化归属；组织家乡微型展览。</w:t>
            </w:r>
          </w:p>
        </w:tc>
      </w:tr>
    </w:tbl>
    <w:p>
      <w:pPr>
        <w:spacing w:after="40"/>
      </w:pPr>
    </w:p>
    <w:p>
      <w:pPr>
        <w:pStyle w:val="Heading2"/>
      </w:pPr>
      <w:r>
        <w:t>23  社会热点与国际事务；</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（暂无直接对应单元）</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原表未列对应单元；五册目录中暂无可直接据此归入该子主题的单元。</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以信息与媒体为核心，讨论信息传播和媒体形式；制作学校通知，认识媒体在社会中的作用。</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八上U4、U5；九上U6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聚焦数字生活、公共规则和塑料使用等社会议题；开展辩论并调查家庭环保行为。</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通过国际慈善机构和公益行动认识跨国公共事务；介绍慈善组织及服务对象。</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八上U8；八下U2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从传染病防护和志愿服务讨论公共应对与社会参与；制作健康倡议和志愿海报。</w:t>
            </w:r>
          </w:p>
        </w:tc>
      </w:tr>
    </w:tbl>
    <w:p>
      <w:pPr>
        <w:spacing w:after="40"/>
      </w:pPr>
    </w:p>
    <w:p>
      <w:pPr>
        <w:pStyle w:val="Heading2"/>
      </w:pPr>
      <w:r>
        <w:t>24  科学技术与工程，人类发明与创新；</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八上U4；八下U4；九上U5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以自然观察和探索为背景，重点讨论发明如何改变生活、创意怎样落实；设计自己的发明。</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八下U4；八下U5；九上U1</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通过人工智能翻译、媒体技术与旧物再利用，讨论技术选择及创新解决方案。</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八上U3、U4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从发明者品质与数字生活出发，讨论发明的影响和技术使用；制作发明展示板。</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八下U3</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围绕线上旅行和数字工具认识技术如何改变获取信息与体验世界的方式。</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七上U6；七下U4；八下U8</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从小发明、大型工程到日常高新技术，介绍用途与挑战；设计小发明、建筑方案和机器人。</w:t>
            </w:r>
          </w:p>
        </w:tc>
      </w:tr>
    </w:tbl>
    <w:p>
      <w:pPr>
        <w:spacing w:after="40"/>
      </w:pPr>
    </w:p>
    <w:p>
      <w:pPr>
        <w:pStyle w:val="Heading1"/>
      </w:pPr>
      <w:r>
        <w:t>人与自然</w:t>
      </w:r>
    </w:p>
    <w:p>
      <w:pPr>
        <w:pStyle w:val="Heading2"/>
      </w:pPr>
      <w:r>
        <w:t>25  世界主要国家的地理位置，不同地区的生态特征与自然景观；</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七下U1；七下U6；八下U4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从动物、天气和自然奇观认识不同环境及其特征；制作动物园设计、天气播报和奇观海报。</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七下U3；七下U4</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通过天气、地标与地区景观介绍自然和地理特征；制作天气播报并介绍地标。</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七下U5、U6；九上U3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从家乡自然色彩、旅行见闻和历史景观观察地域差异；制作自然奇观海报与旅行计划。</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七下U6；八上U6</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比较不同地貌、天气和四季变化，描述自然景观与季节体验。</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七下U2；九上U6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介绍地貌、自然奇观和家乡地理，练习描述地区特征；制作自然视频与家乡展览。</w:t>
            </w:r>
          </w:p>
        </w:tc>
      </w:tr>
    </w:tbl>
    <w:p>
      <w:pPr>
        <w:spacing w:after="40"/>
      </w:pPr>
    </w:p>
    <w:p>
      <w:pPr>
        <w:pStyle w:val="Heading2"/>
      </w:pPr>
      <w:r>
        <w:t>26  热爱与敬畏自然，与自然和谐共生；</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七下U1；八上U4；八下U4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由动物朋友、动植物联系和自然奇观认识人与自然的关系；制作动物园及自然介绍海报。</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七下U6；八下U5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以动物认识与绿色生活为线索，讨论人与动物的关系以及减少资源浪费的方法。</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七上U5、U6；七下U5；八下U4、U5、U6；九上U5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从植物和动物的价值延伸到自然探索、太阳能与雨林保护；制定人与自然和谐相处的保护计划。</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七下U5；八上U5、U7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通过动物事实、野生动物和生态系统，讨论尊重生命与保护栖息环境。</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七下U2；八上U1；八下U2</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介绍自然奇观、动物保护与志愿行动，讨论如何通过宣传和服务参与保护。</w:t>
            </w:r>
          </w:p>
        </w:tc>
      </w:tr>
    </w:tbl>
    <w:p>
      <w:pPr>
        <w:spacing w:after="40"/>
      </w:pPr>
    </w:p>
    <w:p>
      <w:pPr>
        <w:pStyle w:val="Heading2"/>
      </w:pPr>
      <w:r>
        <w:t>27  环境污染及原因，环保意识和行为；</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原表对应的动植物单元主要介绍生态联系，可由此讨论环境保护；目录中未直接设置污染成因专题。</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八下U5</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直接讨论绿色生活、旧物再利用和环保解决方案；撰写绿色建议并制作再利用作品。</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八下U6；九上U5、U6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从人与自然共生、雨林保护和塑料使用切入，分析环保行为；调查家庭习惯并制定保护计划。</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八上U5、U7；八下U8</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通过野生动物、生态系统和污染类型认识环境问题；制作绿色公民宣传单。</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七上U7；八下U4</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聚焦全球变暖的原因与影响，以及本地环境问题；开展实验和调查，提出气候行动。</w:t>
            </w:r>
          </w:p>
        </w:tc>
      </w:tr>
    </w:tbl>
    <w:p>
      <w:pPr>
        <w:spacing w:after="40"/>
      </w:pPr>
    </w:p>
    <w:p>
      <w:pPr>
        <w:pStyle w:val="Heading2"/>
      </w:pPr>
      <w:r>
        <w:t>28  自然灾害与防范措施、人身安全与自我保护；</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讨论自然灾害怎样影响生活以及灾前如何准备；用故事活动梳理应对过程。</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八上U2</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以日常安全和安全规则为主线，制定防护守则；原表单元不只针对自然灾害。</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结合灾害故事与预警信息认识风险和应对；制作自然灾害宣传海报。</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八上U8</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区分突发事件与自然灾害，学习安全应对，并参与安全主题宣传活动。</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九上U3</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从应急包和灾害准备入手，认识防范措施；完成灾害应对展示。</w:t>
            </w:r>
          </w:p>
        </w:tc>
      </w:tr>
    </w:tbl>
    <w:p>
      <w:pPr>
        <w:spacing w:after="40"/>
      </w:pPr>
    </w:p>
    <w:p>
      <w:pPr>
        <w:pStyle w:val="Heading2"/>
      </w:pPr>
      <w:r>
        <w:t>29  地球与宇宙探秘，航天事业发展</w:t>
      </w:r>
    </w:p>
    <w:tbl>
      <w:tblPr>
        <w:tblW w:type="auto" w:w="0"/>
        <w:tblLayout w:type="fixed"/>
        <w:tblLook w:firstColumn="1" w:firstRow="1" w:lastColumn="0" w:lastRow="0" w:noHBand="0" w:noVBand="1" w:val="04A0"/>
      </w:tblPr>
      <w:tblGrid>
        <w:gridCol w:w="1531"/>
        <w:gridCol w:w="3515"/>
        <w:gridCol w:w="10715"/>
      </w:tblGrid>
      <w:tr>
        <w:trPr>
          <w:cantSplit/>
          <w:tblHeader w:val="true"/>
        </w:trPr>
        <w:tc>
          <w:tcPr>
            <w:tcW w:type="dxa" w:w="1531"/>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center"/>
            </w:pPr>
            <w:r/>
            <w:r>
              <w:rPr>
                <w:rFonts w:ascii="等线" w:hAnsi="等线" w:eastAsia="等线"/>
                <w:b/>
                <w:color w:val="FFFFFF"/>
                <w:sz w:val="19"/>
              </w:rPr>
              <w:t>教材版本</w:t>
            </w:r>
          </w:p>
        </w:tc>
        <w:tc>
          <w:tcPr>
            <w:tcW w:type="dxa" w:w="35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相关单元</w:t>
            </w:r>
          </w:p>
        </w:tc>
        <w:tc>
          <w:tcPr>
            <w:tcW w:type="dxa" w:w="10715"/>
            <w:vAlign w:val="center"/>
            <w:shd w:fill="173F8A"/>
            <w:tcBorders>
              <w:top w:val="single" w:sz="4" w:color="D9D9D9"/>
              <w:left w:val="single" w:sz="4" w:color="D9D9D9"/>
              <w:bottom w:val="single" w:sz="4" w:color="D9D9D9"/>
              <w:right w:val="single" w:sz="4" w:color="D9D9D9"/>
            </w:tcBorders>
            <w:tcMar>
              <w:top w:w="80" w:type="dxa"/>
              <w:start w:w="100" w:type="dxa"/>
              <w:bottom w:w="80" w:type="dxa"/>
              <w:end w:w="100" w:type="dxa"/>
            </w:tcMar>
          </w:tcPr>
          <w:p>
            <w:pPr>
              <w:jc w:val="left"/>
            </w:pPr>
            <w:r/>
            <w:r>
              <w:rPr>
                <w:rFonts w:ascii="等线" w:hAnsi="等线" w:eastAsia="等线"/>
                <w:b/>
                <w:color w:val="FFFFFF"/>
                <w:sz w:val="19"/>
              </w:rPr>
              <w:t>内容与活动切入点</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人教版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九上U6</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直接讨论探索太空的原因、范围与中国航天发展；制作中国航天事业海报。</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北师大版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（暂无直接对应单元）</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原表未列对应单元；五册目录中暂无可直接据此归入宇宙探索的单元。</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外研版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八下U5</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原表对应的《Looking into nature》聚焦自然探索成果与神秘现象，未直接介绍航天事业。</w:t>
            </w:r>
          </w:p>
        </w:tc>
      </w:tr>
      <w:tr>
        <w:trPr>
          <w:cantSplit/>
        </w:trPr>
        <w:tc>
          <w:tcPr>
            <w:tcW w:type="dxa" w:w="1531"/>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译林版</w:t>
            </w:r>
          </w:p>
        </w:tc>
        <w:tc>
          <w:tcPr>
            <w:tcW w:type="dxa" w:w="35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八上U7</w:t>
            </w:r>
          </w:p>
        </w:tc>
        <w:tc>
          <w:tcPr>
            <w:tcW w:type="dxa" w:w="10715"/>
            <w:vAlign w:val="center"/>
            <w:shd w:fill="F4F7FB"/>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原表对应的《The natural world》主要介绍生态系统，并未直接展开地球与宇宙探秘。</w:t>
            </w:r>
          </w:p>
        </w:tc>
      </w:tr>
      <w:tr>
        <w:trPr>
          <w:cantSplit/>
        </w:trPr>
        <w:tc>
          <w:tcPr>
            <w:tcW w:type="dxa" w:w="1531"/>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center"/>
            </w:pPr>
            <w:r/>
            <w:r>
              <w:rPr>
                <w:rFonts w:ascii="等线" w:hAnsi="等线" w:eastAsia="等线"/>
                <w:b/>
                <w:color w:val="1D2A37"/>
                <w:sz w:val="19"/>
              </w:rPr>
              <w:t>沪外教版</w:t>
            </w:r>
          </w:p>
        </w:tc>
        <w:tc>
          <w:tcPr>
            <w:tcW w:type="dxa" w:w="35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九上U7</w:t>
            </w:r>
          </w:p>
        </w:tc>
        <w:tc>
          <w:tcPr>
            <w:tcW w:type="dxa" w:w="10715"/>
            <w:vAlign w:val="center"/>
            <w:shd w:fill="FFFFFF"/>
            <w:tcBorders>
              <w:top w:val="single" w:sz="4" w:color="D9D9D9"/>
              <w:left w:val="single" w:sz="4" w:color="D9D9D9"/>
              <w:bottom w:val="single" w:sz="4" w:color="D9D9D9"/>
              <w:right w:val="single" w:sz="4" w:color="D9D9D9"/>
            </w:tcBorders>
            <w:tcMar>
              <w:top w:w="95" w:type="dxa"/>
              <w:start w:w="105" w:type="dxa"/>
              <w:bottom w:w="95" w:type="dxa"/>
              <w:end w:w="105" w:type="dxa"/>
            </w:tcMar>
          </w:tcPr>
          <w:p>
            <w:pPr>
              <w:spacing w:line="274" w:lineRule="auto"/>
              <w:jc w:val="left"/>
            </w:pPr>
            <w:r/>
            <w:r>
              <w:rPr>
                <w:rFonts w:ascii="等线" w:hAnsi="等线" w:eastAsia="等线"/>
                <w:b w:val="0"/>
                <w:color w:val="1D2A37"/>
                <w:sz w:val="19"/>
              </w:rPr>
              <w:t>通过神秘地点和自然奇观拓展探索意识，设计奇观博物馆；原表单元未直接讲解航天事业。</w:t>
            </w:r>
          </w:p>
        </w:tc>
      </w:tr>
    </w:tbl>
    <w:p>
      <w:pPr>
        <w:spacing w:after="40"/>
      </w:pPr>
    </w:p>
    <w:sectPr w:rsidR="00FC693F" w:rsidRPr="0006063C" w:rsidSect="00034616">
      <w:pgSz w:w="16838" w:h="11906"/>
      <w:pgMar w:top="482" w:right="510" w:bottom="482" w:left="510"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等线" w:hAnsi="等线"/>
      <w:color w:val="1E1E1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等线" w:hAnsi="等线"/>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等线" w:hAnsi="等线"/>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等线" w:hAnsi="等线"/>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